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6721"/>
        <w:gridCol w:w="928"/>
      </w:tblGrid>
      <w:tr w:rsidR="00000000">
        <w:trPr>
          <w:divId w:val="1960409947"/>
          <w:tblCellSpacing w:w="15" w:type="dxa"/>
        </w:trPr>
        <w:tc>
          <w:tcPr>
            <w:tcW w:w="75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4F81BD"/>
                <w:sz w:val="29"/>
                <w:szCs w:val="29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 1" descr="C:\Users\contact\Documents\LEJOSNE LAMBERT_fichiers\m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tact\Documents\LEJOSNE LAMBERT_fichiers\m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jc w:val="center"/>
              <w:rPr>
                <w:rFonts w:ascii="Arial" w:eastAsia="Times New Roman" w:hAnsi="Arial" w:cs="Arial"/>
                <w:color w:val="4F81BD"/>
                <w:sz w:val="58"/>
                <w:szCs w:val="58"/>
              </w:rPr>
            </w:pPr>
            <w:r>
              <w:rPr>
                <w:rFonts w:ascii="Arial" w:eastAsia="Times New Roman" w:hAnsi="Arial" w:cs="Arial"/>
                <w:color w:val="4F81BD"/>
                <w:sz w:val="58"/>
                <w:szCs w:val="58"/>
              </w:rPr>
              <w:t>Coordonnateur.rice contrat de ville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>5769</w:t>
            </w:r>
          </w:p>
        </w:tc>
      </w:tr>
    </w:tbl>
    <w:p w:rsidR="00000000" w:rsidRDefault="00BE5CF9">
      <w:pPr>
        <w:divId w:val="1960409947"/>
        <w:rPr>
          <w:rFonts w:eastAsia="Times New Roman"/>
          <w:color w:val="4F81BD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395"/>
      </w:tblGrid>
      <w:tr w:rsidR="00000000">
        <w:trPr>
          <w:divId w:val="1960409947"/>
          <w:tblCellSpacing w:w="15" w:type="dxa"/>
        </w:trPr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>Pôle : AMENAGEMENT ET HABITAT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Direction : URBANISME AMENAGEMENT ET VILLE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Service : POLITIQUE DE LA VILLE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 xml:space="preserve">Unité fonctionnelle : 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 xml:space="preserve">Relations </w:t>
            </w:r>
            <w:r>
              <w:rPr>
                <w:rFonts w:eastAsia="Times New Roman"/>
                <w:color w:val="4F81BD"/>
                <w:sz w:val="29"/>
                <w:szCs w:val="29"/>
              </w:rPr>
              <w:t xml:space="preserve">hiérarchiques : </w:t>
            </w:r>
          </w:p>
        </w:tc>
      </w:tr>
      <w:tr w:rsidR="00000000">
        <w:trPr>
          <w:divId w:val="1960409947"/>
          <w:tblCellSpacing w:w="15" w:type="dxa"/>
        </w:trPr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 xml:space="preserve">Informations statutaires :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Filière : Administrative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Catégorie : Catégorie A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 xml:space="preserve">Relations fonctionnelles :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Externes : partenaires externes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Internes : ensemble des pôles et directions de l'établissement</w:t>
            </w:r>
          </w:p>
        </w:tc>
      </w:tr>
      <w:tr w:rsidR="00000000">
        <w:trPr>
          <w:divId w:val="196040994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 xml:space="preserve">Finalités du poste :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Accomp</w:t>
            </w:r>
            <w:r>
              <w:rPr>
                <w:rFonts w:eastAsia="Times New Roman"/>
                <w:color w:val="4F81BD"/>
                <w:sz w:val="29"/>
                <w:szCs w:val="29"/>
              </w:rPr>
              <w:t>agner la MEL dans la mise en œuvre du contrat de ville.</w:t>
            </w:r>
          </w:p>
        </w:tc>
      </w:tr>
      <w:tr w:rsidR="00000000">
        <w:trPr>
          <w:divId w:val="196040994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t xml:space="preserve">Missions et activités :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Accompagner la MEL dans la mise en œuvre du contrat de ville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Mettre en place et animer toute la réflexion sur la cohérence des politiques publiques et la mobilisation du</w:t>
            </w:r>
            <w:r>
              <w:rPr>
                <w:rFonts w:eastAsia="Times New Roman"/>
                <w:color w:val="4F81BD"/>
                <w:sz w:val="29"/>
                <w:szCs w:val="29"/>
              </w:rPr>
              <w:t xml:space="preserve"> droit commun renforcé au service du contrat de ville métropolitain (en interne MEL et avec l'ensemble des acteurs signataires)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Animer la gestion du projet d'investissement territorial intégré permettant la mobilisation des fonds européens dédiés à la P</w:t>
            </w:r>
            <w:r>
              <w:rPr>
                <w:rFonts w:eastAsia="Times New Roman"/>
                <w:color w:val="4F81BD"/>
                <w:sz w:val="29"/>
                <w:szCs w:val="29"/>
              </w:rPr>
              <w:t>olitique de la ville, en lien étroit avec les pôles MEL concernés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Participer à la préparation des instances de pilotage (comité technique, comité de pilotage) du contrat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Assurer un reporting permanent auprès de la chef de service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Développer les outils</w:t>
            </w:r>
            <w:r>
              <w:rPr>
                <w:rFonts w:eastAsia="Times New Roman"/>
                <w:color w:val="4F81BD"/>
                <w:sz w:val="29"/>
                <w:szCs w:val="29"/>
              </w:rPr>
              <w:t xml:space="preserve"> nécessaires à la mise en œuvre du projet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 xml:space="preserve">- Accompagner la mise en œuvre des outils d'observation, de suivi et d'évaluation du contrat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 xml:space="preserve">- Développer les outils nécessaires à la mise en réseau, à la qualification </w:t>
            </w:r>
            <w:r>
              <w:rPr>
                <w:rFonts w:eastAsia="Times New Roman"/>
                <w:color w:val="4F81BD"/>
                <w:sz w:val="29"/>
                <w:szCs w:val="29"/>
              </w:rPr>
              <w:lastRenderedPageBreak/>
              <w:t>des acteurs de la politique de la ville, à l</w:t>
            </w:r>
            <w:r>
              <w:rPr>
                <w:rFonts w:eastAsia="Times New Roman"/>
                <w:color w:val="4F81BD"/>
                <w:sz w:val="29"/>
                <w:szCs w:val="29"/>
              </w:rPr>
              <w:t xml:space="preserve">'échange des bonnes pratiques ainsi qu'à la 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représentation des habitants dans les instances de pilotage et de mise en œuvre du contrat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Assurer la gestion financière du projet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>- Veiller à l'organisation et de la gestion de la programmation financière de l</w:t>
            </w:r>
            <w:r>
              <w:rPr>
                <w:rFonts w:eastAsia="Times New Roman"/>
                <w:color w:val="4F81BD"/>
                <w:sz w:val="29"/>
                <w:szCs w:val="29"/>
              </w:rPr>
              <w:t>a politique de la ville, en lien étroit avec les partenaires du contrat</w:t>
            </w:r>
            <w:r>
              <w:rPr>
                <w:rFonts w:eastAsia="Times New Roman"/>
                <w:color w:val="4F81BD"/>
                <w:sz w:val="29"/>
                <w:szCs w:val="29"/>
              </w:rPr>
              <w:br/>
              <w:t xml:space="preserve">- Assurer la préparation puis l'exécution du budget de la Politique de la ville au sein de la MEL </w:t>
            </w:r>
          </w:p>
        </w:tc>
      </w:tr>
      <w:tr w:rsidR="00000000">
        <w:trPr>
          <w:divId w:val="196040994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  <w:r>
              <w:rPr>
                <w:rFonts w:eastAsia="Times New Roman"/>
                <w:color w:val="4F81BD"/>
                <w:sz w:val="29"/>
                <w:szCs w:val="29"/>
              </w:rPr>
              <w:lastRenderedPageBreak/>
              <w:t xml:space="preserve">Particularités du poste : </w:t>
            </w:r>
          </w:p>
        </w:tc>
      </w:tr>
      <w:tr w:rsidR="00000000">
        <w:trPr>
          <w:divId w:val="196040994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817"/>
              <w:gridCol w:w="1752"/>
            </w:tblGrid>
            <w:tr w:rsidR="00000000">
              <w:tc>
                <w:tcPr>
                  <w:tcW w:w="1250" w:type="pct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Code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Compétences</w:t>
                  </w:r>
                </w:p>
              </w:tc>
              <w:tc>
                <w:tcPr>
                  <w:tcW w:w="1000" w:type="pct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Degré*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SE 18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Force de proposition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3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SF 36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Management transversal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3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SF 25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Conduite de réunion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3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S 117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Politique de la ville et NPRU</w:t>
                  </w:r>
                </w:p>
              </w:tc>
              <w:tc>
                <w:tcPr>
                  <w:tcW w:w="0" w:type="auto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000000" w:rsidRDefault="00BE5CF9">
                  <w:pPr>
                    <w:jc w:val="center"/>
                    <w:rPr>
                      <w:rFonts w:eastAsia="Times New Roman"/>
                      <w:color w:val="4F81BD"/>
                      <w:sz w:val="29"/>
                      <w:szCs w:val="29"/>
                    </w:rPr>
                  </w:pPr>
                  <w:r>
                    <w:rPr>
                      <w:rFonts w:eastAsia="Times New Roman"/>
                      <w:color w:val="4F81BD"/>
                      <w:sz w:val="29"/>
                      <w:szCs w:val="29"/>
                    </w:rPr>
                    <w:t>4</w:t>
                  </w:r>
                </w:p>
              </w:tc>
            </w:tr>
          </w:tbl>
          <w:p w:rsidR="00000000" w:rsidRDefault="00BE5CF9">
            <w:pPr>
              <w:rPr>
                <w:rFonts w:eastAsia="Times New Roman"/>
                <w:color w:val="4F81BD"/>
                <w:sz w:val="29"/>
                <w:szCs w:val="29"/>
              </w:rPr>
            </w:pPr>
          </w:p>
        </w:tc>
      </w:tr>
    </w:tbl>
    <w:p w:rsidR="00BE5CF9" w:rsidRDefault="00BE5CF9">
      <w:pPr>
        <w:rPr>
          <w:rFonts w:eastAsia="Times New Roman"/>
        </w:rPr>
      </w:pPr>
      <w:r>
        <w:rPr>
          <w:rFonts w:eastAsia="Times New Roman"/>
          <w:color w:val="4F81BD"/>
          <w:sz w:val="18"/>
          <w:szCs w:val="18"/>
        </w:rPr>
        <w:pict/>
      </w:r>
    </w:p>
    <w:sectPr w:rsidR="00B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6D19"/>
    <w:rsid w:val="00BE5CF9"/>
    <w:rsid w:val="00C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E0B9-4836-46AB-8D4F-42515E9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57"/>
      <w:outlineLvl w:val="0"/>
    </w:pPr>
    <w:rPr>
      <w:b/>
      <w:bCs/>
      <w:color w:val="C0504D"/>
      <w:kern w:val="36"/>
      <w:sz w:val="55"/>
      <w:szCs w:val="55"/>
    </w:rPr>
  </w:style>
  <w:style w:type="paragraph" w:styleId="Titre2">
    <w:name w:val="heading 2"/>
    <w:basedOn w:val="Normal"/>
    <w:link w:val="Titre2Car"/>
    <w:uiPriority w:val="9"/>
    <w:qFormat/>
    <w:pPr>
      <w:spacing w:before="60"/>
      <w:outlineLvl w:val="1"/>
    </w:pPr>
    <w:rPr>
      <w:b/>
      <w:bCs/>
      <w:color w:val="C0504D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pPr>
      <w:spacing w:before="180" w:after="60"/>
      <w:outlineLvl w:val="2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h3sm">
    <w:name w:val="h3_sm"/>
    <w:basedOn w:val="Normal"/>
    <w:pPr>
      <w:spacing w:before="100" w:beforeAutospacing="1" w:after="100" w:afterAutospacing="1"/>
    </w:pPr>
    <w:rPr>
      <w:i/>
      <w:iCs/>
      <w:sz w:val="19"/>
      <w:szCs w:val="19"/>
    </w:rPr>
  </w:style>
  <w:style w:type="paragraph" w:customStyle="1" w:styleId="tdtitre">
    <w:name w:val="td_titre"/>
    <w:basedOn w:val="Normal"/>
    <w:pPr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noborder">
    <w:name w:val="noborder"/>
    <w:basedOn w:val="Normal"/>
    <w:pPr>
      <w:spacing w:before="100" w:beforeAutospacing="1" w:after="100" w:afterAutospacing="1"/>
    </w:pPr>
  </w:style>
  <w:style w:type="paragraph" w:customStyle="1" w:styleId="niveaux">
    <w:name w:val="niveaux"/>
    <w:basedOn w:val="Normal"/>
    <w:pPr>
      <w:spacing w:before="100" w:beforeAutospacing="1" w:after="100" w:afterAutospacing="1"/>
    </w:pPr>
  </w:style>
  <w:style w:type="paragraph" w:customStyle="1" w:styleId="pasbord">
    <w:name w:val="pasbord"/>
    <w:basedOn w:val="Normal"/>
    <w:pPr>
      <w:spacing w:before="100" w:beforeAutospacing="1" w:after="100" w:afterAutospacing="1"/>
    </w:pPr>
  </w:style>
  <w:style w:type="paragraph" w:customStyle="1" w:styleId="colle">
    <w:name w:val="colle"/>
    <w:basedOn w:val="Normal"/>
    <w:pPr>
      <w:spacing w:before="100" w:beforeAutospacing="1" w:after="100" w:afterAutospacing="1"/>
    </w:pPr>
  </w:style>
  <w:style w:type="paragraph" w:customStyle="1" w:styleId="coche">
    <w:name w:val="coche"/>
    <w:basedOn w:val="Normal"/>
    <w:pPr>
      <w:spacing w:before="60" w:after="60"/>
      <w:ind w:left="60" w:right="60"/>
    </w:pPr>
  </w:style>
  <w:style w:type="paragraph" w:customStyle="1" w:styleId="cochepetite">
    <w:name w:val="cochepetite"/>
    <w:basedOn w:val="Normal"/>
    <w:pPr>
      <w:spacing w:before="150" w:after="100" w:afterAutospacing="1"/>
      <w:ind w:left="195"/>
    </w:pPr>
  </w:style>
  <w:style w:type="paragraph" w:customStyle="1" w:styleId="cochepetite2">
    <w:name w:val="cochepetite2"/>
    <w:basedOn w:val="Normal"/>
    <w:pPr>
      <w:spacing w:before="405" w:after="100" w:afterAutospacing="1"/>
      <w:ind w:left="195"/>
    </w:pPr>
  </w:style>
  <w:style w:type="paragraph" w:customStyle="1" w:styleId="cochex">
    <w:name w:val="cochex"/>
    <w:basedOn w:val="Normal"/>
    <w:pPr>
      <w:spacing w:before="100" w:beforeAutospacing="1" w:after="100" w:afterAutospacing="1"/>
      <w:ind w:left="225"/>
    </w:pPr>
    <w:rPr>
      <w:rFonts w:ascii="Arial" w:hAnsi="Arial" w:cs="Arial"/>
      <w:sz w:val="42"/>
      <w:szCs w:val="42"/>
    </w:rPr>
  </w:style>
  <w:style w:type="paragraph" w:customStyle="1" w:styleId="cochex2">
    <w:name w:val="cochex2"/>
    <w:basedOn w:val="Normal"/>
    <w:pPr>
      <w:spacing w:before="100" w:beforeAutospacing="1" w:after="100" w:afterAutospacing="1"/>
      <w:ind w:left="150"/>
    </w:pPr>
    <w:rPr>
      <w:rFonts w:ascii="Arial" w:hAnsi="Arial" w:cs="Arial"/>
      <w:sz w:val="42"/>
      <w:szCs w:val="42"/>
    </w:rPr>
  </w:style>
  <w:style w:type="paragraph" w:customStyle="1" w:styleId="cochexsm">
    <w:name w:val="cochexsm"/>
    <w:basedOn w:val="Normal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verticaltext">
    <w:name w:val="verticaltext"/>
    <w:basedOn w:val="Normal"/>
    <w:pPr>
      <w:spacing w:before="100" w:beforeAutospacing="1" w:after="100" w:afterAutospacing="1"/>
    </w:pPr>
  </w:style>
  <w:style w:type="paragraph" w:customStyle="1" w:styleId="center">
    <w:name w:val="center"/>
    <w:basedOn w:val="Normal"/>
    <w:pPr>
      <w:spacing w:before="100" w:beforeAutospacing="1" w:after="100" w:afterAutospacing="1"/>
    </w:pPr>
  </w:style>
  <w:style w:type="paragraph" w:customStyle="1" w:styleId="txtleft">
    <w:name w:val="txtleft"/>
    <w:basedOn w:val="Normal"/>
    <w:pPr>
      <w:spacing w:before="100" w:beforeAutospacing="1" w:after="100" w:afterAutospacing="1"/>
    </w:pPr>
  </w:style>
  <w:style w:type="paragraph" w:customStyle="1" w:styleId="txtright">
    <w:name w:val="txtright"/>
    <w:basedOn w:val="Normal"/>
    <w:pPr>
      <w:spacing w:before="100" w:beforeAutospacing="1" w:after="100" w:afterAutospacing="1"/>
      <w:jc w:val="right"/>
    </w:pPr>
  </w:style>
  <w:style w:type="paragraph" w:customStyle="1" w:styleId="txtcenter">
    <w:name w:val="txtcenter"/>
    <w:basedOn w:val="Normal"/>
    <w:pPr>
      <w:spacing w:before="100" w:beforeAutospacing="1" w:after="100" w:afterAutospacing="1"/>
      <w:jc w:val="center"/>
    </w:pPr>
  </w:style>
  <w:style w:type="paragraph" w:customStyle="1" w:styleId="big">
    <w:name w:val="big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b/>
      <w:bCs/>
      <w:color w:val="A94442"/>
    </w:rPr>
  </w:style>
  <w:style w:type="paragraph" w:customStyle="1" w:styleId="trad">
    <w:name w:val="tr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entpage">
    <w:name w:val="content_page"/>
    <w:basedOn w:val="Normal"/>
    <w:pPr>
      <w:spacing w:before="100" w:beforeAutospacing="1" w:after="100" w:afterAutospacing="1"/>
      <w:ind w:left="150"/>
    </w:pPr>
  </w:style>
  <w:style w:type="paragraph" w:customStyle="1" w:styleId="sep">
    <w:name w:val="sep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994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contact\Documents\LEJOSNE%20LAMBERT_fichiers\me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2</cp:revision>
  <dcterms:created xsi:type="dcterms:W3CDTF">2018-06-26T09:40:00Z</dcterms:created>
  <dcterms:modified xsi:type="dcterms:W3CDTF">2018-06-26T09:40:00Z</dcterms:modified>
</cp:coreProperties>
</file>