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32" w:rsidRDefault="00CA7D90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5pt;margin-top:70.85pt;width:300.5pt;height:147.5pt;z-index:251667456;mso-wrap-edited:f;mso-position-horizontal-relative:page;mso-position-vertical-relative:page" wrapcoords="0 0 21600 0 21600 21600 0 21600 0 0" filled="f" stroked="f">
            <v:fill o:detectmouseclick="t"/>
            <v:textbox inset=",7.2pt,,7.2pt">
              <w:txbxContent>
                <w:p w:rsidR="008C2F45" w:rsidRPr="008C2F45" w:rsidRDefault="0001548A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lang w:val="fr-FR"/>
                    </w:rPr>
                  </w:pPr>
                  <w:r w:rsidRPr="008C2F45"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lang w:val="fr-FR"/>
                    </w:rPr>
                    <w:t xml:space="preserve">Conseil citoyen </w:t>
                  </w:r>
                  <w:r w:rsidR="00222092">
                    <w:rPr>
                      <w:rFonts w:asciiTheme="majorHAnsi" w:hAnsiTheme="majorHAnsi"/>
                      <w:b/>
                      <w:color w:val="FF0000"/>
                      <w:sz w:val="32"/>
                      <w:lang w:val="fr-FR"/>
                    </w:rPr>
                    <w:t>[d</w:t>
                  </w:r>
                  <w:r w:rsidR="00CA7D90">
                    <w:rPr>
                      <w:rFonts w:asciiTheme="majorHAnsi" w:hAnsiTheme="majorHAnsi"/>
                      <w:b/>
                      <w:color w:val="FF0000"/>
                      <w:sz w:val="32"/>
                      <w:lang w:val="fr-FR"/>
                    </w:rPr>
                    <w:t xml:space="preserve">e </w:t>
                  </w:r>
                  <w:r w:rsidR="00222092">
                    <w:rPr>
                      <w:rFonts w:asciiTheme="majorHAnsi" w:hAnsiTheme="majorHAnsi"/>
                      <w:b/>
                      <w:color w:val="FF0000"/>
                      <w:sz w:val="32"/>
                      <w:lang w:val="fr-FR"/>
                    </w:rPr>
                    <w:t>insérer ville/quartier</w:t>
                  </w:r>
                  <w:r w:rsidR="00222092" w:rsidRPr="00222092">
                    <w:rPr>
                      <w:rFonts w:asciiTheme="majorHAnsi" w:hAnsiTheme="majorHAnsi"/>
                      <w:b/>
                      <w:color w:val="FF0000"/>
                      <w:sz w:val="32"/>
                      <w:lang w:val="fr-FR"/>
                    </w:rPr>
                    <w:t>]</w:t>
                  </w:r>
                </w:p>
                <w:p w:rsidR="008C2F45" w:rsidRPr="008C2F45" w:rsidRDefault="00CA7D90">
                  <w:pPr>
                    <w:rPr>
                      <w:rFonts w:asciiTheme="majorHAnsi" w:hAnsiTheme="majorHAnsi"/>
                      <w:color w:val="FFFFFF" w:themeColor="background1"/>
                      <w:lang w:val="fr-FR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_x0000_s1026" type="#_x0000_t202" style="position:absolute;margin-left:40.75pt;margin-top:247.5pt;width:513.5pt;height:544.5pt;z-index:251660288;mso-wrap-edited:f;mso-position-horizontal-relative:page;mso-position-vertical-relative:page" wrapcoords="0 0 21600 0 21600 21600 0 21600 0 0" filled="f" stroked="f">
            <v:fill o:detectmouseclick="t"/>
            <v:textbox style="mso-next-textbox:#_x0000_s1028" inset=",7.2pt,,7.2pt">
              <w:txbxContent>
                <w:p w:rsidR="00F67432" w:rsidRPr="006F3E6A" w:rsidRDefault="00222092" w:rsidP="00F67432">
                  <w:pPr>
                    <w:spacing w:line="216" w:lineRule="auto"/>
                    <w:rPr>
                      <w:rFonts w:ascii="Impact" w:hAnsi="Impact"/>
                      <w:b/>
                      <w:color w:val="128E7D"/>
                      <w:sz w:val="56"/>
                      <w:lang w:val="fr-FR"/>
                    </w:rPr>
                  </w:pPr>
                  <w:r>
                    <w:rPr>
                      <w:rFonts w:ascii="Impact" w:hAnsi="Impact"/>
                      <w:b/>
                      <w:color w:val="128E7D"/>
                      <w:sz w:val="56"/>
                      <w:lang w:val="fr-FR"/>
                    </w:rPr>
                    <w:t>Le comité de pilotage du contrat de ville</w:t>
                  </w:r>
                </w:p>
                <w:p w:rsidR="00222092" w:rsidRPr="00222092" w:rsidRDefault="00F67432" w:rsidP="00222092">
                  <w:pPr>
                    <w:pStyle w:val="Titre2"/>
                    <w:rPr>
                      <w:b/>
                      <w:color w:val="128E7D"/>
                    </w:rPr>
                  </w:pPr>
                  <w:r w:rsidRPr="00222092">
                    <w:rPr>
                      <w:rFonts w:ascii="Webdings" w:hAnsi="Webdings"/>
                      <w:b/>
                      <w:color w:val="128E7D"/>
                    </w:rPr>
                    <w:t></w:t>
                  </w:r>
                  <w:r w:rsidR="00222092" w:rsidRPr="00222092">
                    <w:rPr>
                      <w:b/>
                      <w:color w:val="128E7D"/>
                    </w:rPr>
                    <w:t>A quoi ça sert ?</w:t>
                  </w:r>
                </w:p>
                <w:p w:rsidR="00222092" w:rsidRPr="00222092" w:rsidRDefault="00222092" w:rsidP="00222092">
                  <w:pPr>
                    <w:rPr>
                      <w:rFonts w:asciiTheme="majorHAnsi" w:hAnsiTheme="majorHAnsi"/>
                      <w:sz w:val="22"/>
                    </w:rPr>
                  </w:pPr>
                  <w:r w:rsidRPr="00222092">
                    <w:rPr>
                      <w:rFonts w:asciiTheme="majorHAnsi" w:hAnsiTheme="majorHAnsi"/>
                      <w:sz w:val="22"/>
                    </w:rPr>
                    <w:t>La politique de la ville prend forme dans le contrat de ville. Ce document :</w:t>
                  </w:r>
                </w:p>
                <w:p w:rsidR="00222092" w:rsidRPr="00222092" w:rsidRDefault="00222092" w:rsidP="0022209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 w:rsidRPr="00222092">
                    <w:rPr>
                      <w:rFonts w:asciiTheme="majorHAnsi" w:hAnsiTheme="majorHAnsi"/>
                    </w:rPr>
                    <w:t>Fait le diagnostic du territoire : quels sont les problèmes les plus importants des quartiers ? Quelles sont les difficultés rencontrées par les habitants ?</w:t>
                  </w:r>
                </w:p>
                <w:p w:rsidR="00222092" w:rsidRPr="00222092" w:rsidRDefault="00222092" w:rsidP="0022209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 w:rsidRPr="00222092">
                    <w:rPr>
                      <w:rFonts w:asciiTheme="majorHAnsi" w:hAnsiTheme="majorHAnsi"/>
                    </w:rPr>
                    <w:t>Définit les réponses à apporter à ces problèmes,</w:t>
                  </w:r>
                </w:p>
                <w:p w:rsidR="00222092" w:rsidRPr="00222092" w:rsidRDefault="00222092" w:rsidP="0022209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</w:rPr>
                  </w:pPr>
                  <w:r w:rsidRPr="00222092">
                    <w:rPr>
                      <w:rFonts w:asciiTheme="majorHAnsi" w:hAnsiTheme="majorHAnsi"/>
                    </w:rPr>
                    <w:t>Engage par écrit les différentes administrations signataires du contrat.</w:t>
                  </w:r>
                </w:p>
                <w:p w:rsidR="00222092" w:rsidRPr="00222092" w:rsidRDefault="00222092" w:rsidP="00222092">
                  <w:pPr>
                    <w:rPr>
                      <w:rFonts w:asciiTheme="majorHAnsi" w:hAnsiTheme="majorHAnsi"/>
                      <w:sz w:val="22"/>
                    </w:rPr>
                  </w:pPr>
                  <w:r w:rsidRPr="00222092">
                    <w:rPr>
                      <w:rFonts w:asciiTheme="majorHAnsi" w:hAnsiTheme="majorHAnsi"/>
                      <w:sz w:val="22"/>
                    </w:rPr>
                    <w:t>Plusieurs fois par an, les différentes administrations ayant signé le contrat de ville et définit des engagements, se réunissent, pour suivre le contrat et le développer : les actions prévues ont elles bien été réalisées ? Quels pourraient être les prochains projets ? Qu’est-ce qui peut être amélioré dans le contrat de ville ? Etc.</w:t>
                  </w:r>
                </w:p>
                <w:p w:rsidR="00F67432" w:rsidRPr="006F3E6A" w:rsidRDefault="00222092" w:rsidP="00222092">
                  <w:pPr>
                    <w:rPr>
                      <w:rFonts w:asciiTheme="majorHAnsi" w:hAnsiTheme="majorHAnsi"/>
                      <w:sz w:val="22"/>
                    </w:rPr>
                  </w:pPr>
                  <w:r w:rsidRPr="00222092">
                    <w:rPr>
                      <w:rFonts w:asciiTheme="majorHAnsi" w:hAnsiTheme="majorHAnsi"/>
                      <w:sz w:val="22"/>
                    </w:rPr>
                    <w:t>Cette réunion est une instance de pilotage qui s’appelle le « Comité de pilotage », ou en abrégé « copil ».</w:t>
                  </w:r>
                </w:p>
                <w:p w:rsidR="00222092" w:rsidRPr="00222092" w:rsidRDefault="00F67432" w:rsidP="00222092">
                  <w:pPr>
                    <w:pStyle w:val="Titre2"/>
                  </w:pPr>
                  <w:r w:rsidRPr="00222092">
                    <w:rPr>
                      <w:rFonts w:ascii="Webdings" w:hAnsi="Webdings"/>
                      <w:b/>
                      <w:color w:val="128E7D"/>
                    </w:rPr>
                    <w:t></w:t>
                  </w:r>
                  <w:r w:rsidR="00222092" w:rsidRPr="00222092">
                    <w:rPr>
                      <w:b/>
                      <w:color w:val="128E7D"/>
                    </w:rPr>
                    <w:t>Qui y siège, qui y participe ?</w:t>
                  </w:r>
                </w:p>
                <w:p w:rsidR="0001548A" w:rsidRDefault="00222092" w:rsidP="00222092">
                  <w:pPr>
                    <w:rPr>
                      <w:rFonts w:asciiTheme="majorHAnsi" w:hAnsiTheme="majorHAnsi"/>
                      <w:sz w:val="22"/>
                    </w:rPr>
                  </w:pPr>
                  <w:r w:rsidRPr="00222092">
                    <w:rPr>
                      <w:rFonts w:asciiTheme="majorHAnsi" w:hAnsiTheme="majorHAnsi"/>
                      <w:sz w:val="22"/>
                    </w:rPr>
                    <w:t>Les représentants des différentes administrations qui ont signé le contrat de ville sont autour de la table au copil :</w:t>
                  </w:r>
                </w:p>
                <w:p w:rsidR="00222092" w:rsidRDefault="00222092" w:rsidP="00222092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  <w:r w:rsidRPr="00222092">
                    <w:drawing>
                      <wp:inline distT="0" distB="0" distL="0" distR="0">
                        <wp:extent cx="3534507" cy="137160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2424" cy="1386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2092" w:rsidRPr="00222092" w:rsidRDefault="00222092" w:rsidP="00222092">
                  <w:pPr>
                    <w:jc w:val="center"/>
                    <w:rPr>
                      <w:rFonts w:asciiTheme="majorHAnsi" w:hAnsiTheme="majorHAnsi"/>
                      <w:i/>
                      <w:sz w:val="22"/>
                    </w:rPr>
                  </w:pPr>
                  <w:r w:rsidRPr="00222092">
                    <w:rPr>
                      <w:rFonts w:asciiTheme="majorHAnsi" w:hAnsiTheme="majorHAnsi"/>
                      <w:i/>
                      <w:sz w:val="22"/>
                    </w:rPr>
                    <w:t>Etat, Intercommunalité, Communes, Conseil R</w:t>
                  </w:r>
                  <w:r w:rsidRPr="00222092">
                    <w:rPr>
                      <w:rFonts w:asciiTheme="majorHAnsi" w:hAnsiTheme="majorHAnsi"/>
                      <w:i/>
                      <w:sz w:val="22"/>
                    </w:rPr>
                    <w:t>égiona</w:t>
                  </w:r>
                  <w:r w:rsidRPr="00222092">
                    <w:rPr>
                      <w:rFonts w:asciiTheme="majorHAnsi" w:hAnsiTheme="majorHAnsi"/>
                      <w:i/>
                      <w:sz w:val="22"/>
                    </w:rPr>
                    <w:t xml:space="preserve">l, Conseil Départemental, CPAM, CAF, Pôle emploi, </w:t>
                  </w:r>
                  <w:r w:rsidRPr="00222092">
                    <w:rPr>
                      <w:rFonts w:asciiTheme="majorHAnsi" w:hAnsiTheme="majorHAnsi"/>
                      <w:i/>
                      <w:sz w:val="22"/>
                    </w:rPr>
                    <w:t>organismes HLM…</w:t>
                  </w:r>
                </w:p>
                <w:p w:rsidR="00222092" w:rsidRPr="00222092" w:rsidRDefault="00222092" w:rsidP="00222092">
                  <w:pPr>
                    <w:rPr>
                      <w:rFonts w:asciiTheme="majorHAnsi" w:hAnsiTheme="majorHAnsi"/>
                      <w:sz w:val="22"/>
                    </w:rPr>
                  </w:pPr>
                  <w:r w:rsidRPr="00222092">
                    <w:rPr>
                      <w:rFonts w:asciiTheme="majorHAnsi" w:hAnsiTheme="majorHAnsi"/>
                      <w:sz w:val="22"/>
                    </w:rPr>
                    <w:t>Au copil, il n’y a pas seulement les techniciens ( = les équipes techniques et professionnelles de l’administration), il y a aussi et surtout les décideurs, les représentants politiques de ces administrations (Elus ou Préfet par exemple).</w:t>
                  </w:r>
                </w:p>
                <w:p w:rsidR="00222092" w:rsidRDefault="00222092" w:rsidP="00222092">
                  <w:pPr>
                    <w:rPr>
                      <w:rFonts w:asciiTheme="majorHAnsi" w:hAnsiTheme="majorHAnsi"/>
                      <w:sz w:val="22"/>
                    </w:rPr>
                  </w:pPr>
                  <w:r w:rsidRPr="00222092">
                    <w:rPr>
                      <w:rFonts w:asciiTheme="majorHAnsi" w:hAnsiTheme="majorHAnsi"/>
                      <w:sz w:val="22"/>
                    </w:rPr>
                    <w:t>Depuis 2015, les citoyens doivent aussi être représentés lors de cette réunion, par exemple, par la présence du président ou de quelques habitants du conseil citoyen.</w:t>
                  </w:r>
                </w:p>
                <w:p w:rsidR="00222092" w:rsidRPr="00222092" w:rsidRDefault="00222092" w:rsidP="00222092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:rsidR="00F67432" w:rsidRPr="00222092" w:rsidRDefault="00F67432" w:rsidP="00F67432">
                  <w:pPr>
                    <w:pStyle w:val="Titre2"/>
                    <w:rPr>
                      <w:b/>
                      <w:sz w:val="22"/>
                    </w:rPr>
                  </w:pPr>
                  <w:r w:rsidRPr="00222092">
                    <w:rPr>
                      <w:rFonts w:ascii="Webdings" w:hAnsi="Webdings"/>
                      <w:b/>
                      <w:color w:val="128E7D"/>
                      <w:sz w:val="24"/>
                    </w:rPr>
                    <w:t></w:t>
                  </w:r>
                  <w:r w:rsidR="00222092" w:rsidRPr="00222092">
                    <w:rPr>
                      <w:b/>
                      <w:color w:val="128E7D"/>
                    </w:rPr>
                    <w:t>Le déroule d’un Comité de Pilotage : comment ça se passe ?</w:t>
                  </w:r>
                </w:p>
                <w:p w:rsidR="00222092" w:rsidRPr="00222092" w:rsidRDefault="00222092" w:rsidP="00222092">
                  <w:pPr>
                    <w:rPr>
                      <w:rFonts w:asciiTheme="majorHAnsi" w:hAnsiTheme="majorHAnsi"/>
                      <w:sz w:val="6"/>
                      <w:szCs w:val="6"/>
                    </w:rPr>
                  </w:pPr>
                </w:p>
                <w:p w:rsidR="00222092" w:rsidRPr="00222092" w:rsidRDefault="00222092" w:rsidP="00222092">
                  <w:pPr>
                    <w:jc w:val="both"/>
                    <w:rPr>
                      <w:rFonts w:asciiTheme="majorHAnsi" w:hAnsiTheme="majorHAnsi"/>
                      <w:sz w:val="22"/>
                    </w:rPr>
                  </w:pPr>
                  <w:r w:rsidRPr="00222092">
                    <w:rPr>
                      <w:rFonts w:asciiTheme="majorHAnsi" w:hAnsiTheme="majorHAnsi"/>
                      <w:sz w:val="22"/>
                    </w:rPr>
                    <w:t>Un comité de pilotage dure en général environ 2h30. Il peut réunir entre 20 et 50 personnes au total.</w:t>
                  </w:r>
                </w:p>
                <w:p w:rsidR="00222092" w:rsidRDefault="00222092" w:rsidP="00222092">
                  <w:pPr>
                    <w:jc w:val="both"/>
                    <w:rPr>
                      <w:rFonts w:asciiTheme="majorHAnsi" w:hAnsiTheme="majorHAnsi"/>
                      <w:sz w:val="22"/>
                    </w:rPr>
                  </w:pPr>
                  <w:r w:rsidRPr="00222092">
                    <w:rPr>
                      <w:rFonts w:asciiTheme="majorHAnsi" w:hAnsiTheme="majorHAnsi"/>
                      <w:sz w:val="22"/>
                    </w:rPr>
                    <w:t>Un ordre du jour est prévu, qui détaille les sujets qui vont être présentés et déb</w:t>
                  </w:r>
                  <w:r>
                    <w:rPr>
                      <w:rFonts w:asciiTheme="majorHAnsi" w:hAnsiTheme="majorHAnsi"/>
                      <w:sz w:val="22"/>
                    </w:rPr>
                    <w:t>attus. Chaque sujet est</w:t>
                  </w:r>
                  <w:r w:rsidRPr="00222092">
                    <w:rPr>
                      <w:rFonts w:asciiTheme="majorHAnsi" w:hAnsiTheme="majorHAnsi"/>
                      <w:sz w:val="22"/>
                    </w:rPr>
                    <w:t xml:space="preserve"> présenté, le plus souvent par le pilote du contrat de ville (l’intercommunalité) ou par le représentant de l’Etat (le sous-Préfet d’Arrondissement par exemple). Puis un temps d’échange est prévu pour que les participants puissent réagir ou poser des questions sur ce sujet.</w:t>
                  </w:r>
                </w:p>
                <w:p w:rsidR="00222092" w:rsidRPr="00222092" w:rsidRDefault="00222092" w:rsidP="00222092">
                  <w:pPr>
                    <w:jc w:val="both"/>
                    <w:rPr>
                      <w:rFonts w:asciiTheme="majorHAnsi" w:hAnsiTheme="majorHAnsi"/>
                      <w:sz w:val="22"/>
                    </w:rPr>
                  </w:pPr>
                </w:p>
                <w:p w:rsidR="00F67432" w:rsidRPr="00222092" w:rsidRDefault="00222092" w:rsidP="00222092">
                  <w:pPr>
                    <w:jc w:val="center"/>
                    <w:rPr>
                      <w:rFonts w:asciiTheme="majorHAnsi" w:hAnsiTheme="majorHAnsi"/>
                      <w:sz w:val="22"/>
                      <w:u w:val="single"/>
                    </w:rPr>
                  </w:pPr>
                  <w:r w:rsidRPr="00222092">
                    <w:rPr>
                      <w:rFonts w:asciiTheme="majorHAnsi" w:hAnsiTheme="majorHAnsi"/>
                      <w:sz w:val="22"/>
                      <w:u w:val="single"/>
                    </w:rPr>
                    <w:t>Exemple d’ordre du jour d’un comité de pilotage :</w:t>
                  </w:r>
                </w:p>
                <w:p w:rsidR="00222092" w:rsidRPr="00222092" w:rsidRDefault="00222092" w:rsidP="00222092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pacing w:after="160" w:line="259" w:lineRule="auto"/>
                    <w:ind w:left="1410" w:hanging="1410"/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</w:pPr>
                  <w:r w:rsidRPr="00222092">
                    <w:rPr>
                      <w:rFonts w:ascii="Calibri" w:eastAsia="Calibri" w:hAnsi="Calibri" w:cs="Times New Roman"/>
                      <w:b/>
                      <w:sz w:val="22"/>
                      <w:szCs w:val="22"/>
                      <w:lang w:val="fr-FR"/>
                    </w:rPr>
                    <w:t>10h00 :</w:t>
                  </w:r>
                  <w:r w:rsidRPr="00222092"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222092"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  <w:tab/>
                    <w:t>Tour de table (chaque personne se présente : Prénom, nom et structure qu’elle représente).</w:t>
                  </w:r>
                </w:p>
                <w:p w:rsidR="00222092" w:rsidRPr="00222092" w:rsidRDefault="00222092" w:rsidP="00222092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pacing w:after="160" w:line="259" w:lineRule="auto"/>
                    <w:ind w:left="1410" w:hanging="1410"/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</w:pPr>
                  <w:r w:rsidRPr="00222092">
                    <w:rPr>
                      <w:rFonts w:ascii="Calibri" w:eastAsia="Calibri" w:hAnsi="Calibri" w:cs="Times New Roman"/>
                      <w:b/>
                      <w:sz w:val="22"/>
                      <w:szCs w:val="22"/>
                      <w:lang w:val="fr-FR"/>
                    </w:rPr>
                    <w:t>10h15 :</w:t>
                  </w:r>
                  <w:r w:rsidRPr="00222092"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222092"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  <w:tab/>
                    <w:t>Mot d’introduction (par le Président de l’intercommunalité ou par le sous-préfet par exemple)</w:t>
                  </w:r>
                </w:p>
                <w:p w:rsidR="00222092" w:rsidRPr="00222092" w:rsidRDefault="00222092" w:rsidP="00222092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pacing w:after="160" w:line="259" w:lineRule="auto"/>
                    <w:ind w:left="1410" w:hanging="1410"/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</w:pPr>
                  <w:r w:rsidRPr="00222092">
                    <w:rPr>
                      <w:rFonts w:ascii="Calibri" w:eastAsia="Calibri" w:hAnsi="Calibri" w:cs="Times New Roman"/>
                      <w:b/>
                      <w:sz w:val="22"/>
                      <w:szCs w:val="22"/>
                      <w:lang w:val="fr-FR"/>
                    </w:rPr>
                    <w:t>10h30 :</w:t>
                  </w:r>
                  <w:r w:rsidRPr="00222092"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222092"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  <w:tab/>
                    <w:t>Présentation d’un document sur la prévention de la délinquance par la personne qui l’a écrit, par exemple le chef de projet de l’intercommunalité.</w:t>
                  </w:r>
                </w:p>
                <w:p w:rsidR="00222092" w:rsidRPr="00222092" w:rsidRDefault="00222092" w:rsidP="00222092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pacing w:after="160" w:line="259" w:lineRule="auto"/>
                    <w:ind w:left="1410" w:hanging="1410"/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</w:pPr>
                  <w:r w:rsidRPr="00222092">
                    <w:rPr>
                      <w:rFonts w:ascii="Calibri" w:eastAsia="Calibri" w:hAnsi="Calibri" w:cs="Times New Roman"/>
                      <w:b/>
                      <w:sz w:val="22"/>
                      <w:szCs w:val="22"/>
                      <w:lang w:val="fr-FR"/>
                    </w:rPr>
                    <w:t>10h50 :</w:t>
                  </w:r>
                  <w:r w:rsidRPr="00222092"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222092"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  <w:tab/>
                    <w:t>Vote des représentants des administrations pour valider ce document et décider qu’il sera annexé au contrat de ville officiellement.</w:t>
                  </w:r>
                </w:p>
                <w:p w:rsidR="00222092" w:rsidRPr="00222092" w:rsidRDefault="00222092" w:rsidP="00222092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pacing w:after="160" w:line="259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</w:pPr>
                  <w:r w:rsidRPr="00222092">
                    <w:rPr>
                      <w:rFonts w:ascii="Calibri" w:eastAsia="Calibri" w:hAnsi="Calibri" w:cs="Times New Roman"/>
                      <w:b/>
                      <w:sz w:val="22"/>
                      <w:szCs w:val="22"/>
                      <w:lang w:val="fr-FR"/>
                    </w:rPr>
                    <w:t>11h00 :</w:t>
                  </w:r>
                  <w:r w:rsidRPr="00222092"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222092"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  <w:tab/>
                    <w:t>Présentation d’un nouveau budget et des règlements de ce budget par un financeur.</w:t>
                  </w:r>
                </w:p>
                <w:p w:rsidR="00222092" w:rsidRPr="00222092" w:rsidRDefault="00222092" w:rsidP="00222092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pacing w:after="160" w:line="259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</w:pPr>
                  <w:r w:rsidRPr="00222092">
                    <w:rPr>
                      <w:rFonts w:ascii="Calibri" w:eastAsia="Calibri" w:hAnsi="Calibri" w:cs="Times New Roman"/>
                      <w:b/>
                      <w:sz w:val="22"/>
                      <w:szCs w:val="22"/>
                      <w:lang w:val="fr-FR"/>
                    </w:rPr>
                    <w:t>11h30 :</w:t>
                  </w:r>
                  <w:r w:rsidRPr="00222092"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222092"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  <w:tab/>
                    <w:t>Temps de questions. Tout le monde peut poser ses questions sur ce nouveau budget.</w:t>
                  </w:r>
                </w:p>
                <w:p w:rsidR="00222092" w:rsidRPr="00222092" w:rsidRDefault="00222092" w:rsidP="00222092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pacing w:after="160" w:line="259" w:lineRule="auto"/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</w:pPr>
                  <w:r w:rsidRPr="00222092">
                    <w:rPr>
                      <w:rFonts w:ascii="Calibri" w:eastAsia="Calibri" w:hAnsi="Calibri" w:cs="Times New Roman"/>
                      <w:b/>
                      <w:sz w:val="22"/>
                      <w:szCs w:val="22"/>
                      <w:lang w:val="fr-FR"/>
                    </w:rPr>
                    <w:t>11h45 :</w:t>
                  </w:r>
                  <w:r w:rsidRPr="00222092"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222092"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  <w:tab/>
                    <w:t>Présentation d’un diagnostic sur la dimension santé dans le quartier.</w:t>
                  </w:r>
                </w:p>
                <w:p w:rsidR="00222092" w:rsidRPr="00222092" w:rsidRDefault="00222092" w:rsidP="00222092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pacing w:after="160" w:line="259" w:lineRule="auto"/>
                    <w:ind w:left="1410" w:hanging="1410"/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</w:pPr>
                  <w:r w:rsidRPr="00222092">
                    <w:rPr>
                      <w:rFonts w:ascii="Calibri" w:eastAsia="Calibri" w:hAnsi="Calibri" w:cs="Times New Roman"/>
                      <w:b/>
                      <w:sz w:val="22"/>
                      <w:szCs w:val="22"/>
                      <w:lang w:val="fr-FR"/>
                    </w:rPr>
                    <w:t>12h00 :</w:t>
                  </w:r>
                  <w:r w:rsidRPr="00222092"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  <w:tab/>
                  </w:r>
                  <w:r w:rsidRPr="00222092"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  <w:tab/>
                    <w:t>Les représentants votent pour valider ce diagnostic et ajouter quelques éléments s’ils le souhaitent.</w:t>
                  </w:r>
                </w:p>
                <w:p w:rsidR="00222092" w:rsidRPr="00222092" w:rsidRDefault="00222092" w:rsidP="00222092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pacing w:after="160" w:line="259" w:lineRule="auto"/>
                    <w:ind w:left="1410" w:hanging="1410"/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</w:pPr>
                  <w:r w:rsidRPr="00222092">
                    <w:rPr>
                      <w:rFonts w:ascii="Calibri" w:eastAsia="Calibri" w:hAnsi="Calibri" w:cs="Times New Roman"/>
                      <w:b/>
                      <w:sz w:val="22"/>
                      <w:szCs w:val="22"/>
                      <w:lang w:val="fr-FR"/>
                    </w:rPr>
                    <w:t>12h15 :</w:t>
                  </w:r>
                  <w:r w:rsidRPr="00222092"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222092">
                    <w:rPr>
                      <w:rFonts w:ascii="Calibri" w:eastAsia="Calibri" w:hAnsi="Calibri" w:cs="Times New Roman"/>
                      <w:sz w:val="22"/>
                      <w:szCs w:val="22"/>
                      <w:lang w:val="fr-FR"/>
                    </w:rPr>
                    <w:tab/>
                    <w:t>Le sous-préfet (représentant l’Etat) ou le Président de l’intercommunalité fait une conclusion en rappelant ce qui devra être fait pour la prochaine réunion.</w:t>
                  </w:r>
                </w:p>
                <w:p w:rsidR="00222092" w:rsidRDefault="00222092" w:rsidP="00222092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:rsidR="00CA7D90" w:rsidRDefault="00CA7D90" w:rsidP="00222092">
                  <w:pPr>
                    <w:rPr>
                      <w:rFonts w:asciiTheme="majorHAnsi" w:hAnsiTheme="majorHAnsi"/>
                      <w:sz w:val="22"/>
                    </w:rPr>
                  </w:pPr>
                  <w:bookmarkStart w:id="0" w:name="_GoBack"/>
                  <w:bookmarkEnd w:id="0"/>
                </w:p>
                <w:p w:rsidR="00CA7D90" w:rsidRPr="00CA7D90" w:rsidRDefault="00CA7D90" w:rsidP="00222092">
                  <w:pPr>
                    <w:rPr>
                      <w:rFonts w:asciiTheme="majorHAnsi" w:hAnsiTheme="majorHAnsi"/>
                      <w:color w:val="FF0000"/>
                      <w:sz w:val="22"/>
                    </w:rPr>
                  </w:pPr>
                  <w:r w:rsidRPr="00CA7D90">
                    <w:rPr>
                      <w:rFonts w:asciiTheme="majorHAnsi" w:hAnsiTheme="majorHAnsi"/>
                      <w:color w:val="FF0000"/>
                      <w:sz w:val="22"/>
                    </w:rPr>
                    <w:t>[possibilité d’insérer votre logo ici</w:t>
                  </w:r>
                  <w:r>
                    <w:rPr>
                      <w:rFonts w:asciiTheme="majorHAnsi" w:hAnsiTheme="majorHAnsi"/>
                      <w:color w:val="FF0000"/>
                      <w:sz w:val="22"/>
                    </w:rPr>
                    <w:t xml:space="preserve"> (copier coller d’image ou par Insertion &gt; Images)</w:t>
                  </w:r>
                  <w:r w:rsidRPr="00CA7D90">
                    <w:rPr>
                      <w:rFonts w:asciiTheme="majorHAnsi" w:hAnsiTheme="majorHAnsi"/>
                      <w:color w:val="FF0000"/>
                      <w:sz w:val="22"/>
                    </w:rPr>
                    <w:t>]</w:t>
                  </w:r>
                </w:p>
                <w:p w:rsidR="00F67432" w:rsidRDefault="00F67432"/>
              </w:txbxContent>
            </v:textbox>
            <w10:wrap type="tight" anchorx="page" anchory="page"/>
          </v:shape>
        </w:pict>
      </w:r>
      <w:r w:rsidR="00F67432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25400" t="0" r="0" b="0"/>
            <wp:wrapTight wrapText="bothSides">
              <wp:wrapPolygon edited="0">
                <wp:start x="-73" y="0"/>
                <wp:lineTo x="-73" y="21549"/>
                <wp:lineTo x="21564" y="21549"/>
                <wp:lineTo x="21564" y="0"/>
                <wp:lineTo x="-73" y="0"/>
              </wp:wrapPolygon>
            </wp:wrapTight>
            <wp:docPr id="6" name="Image 5" descr="FICHE-A4-rect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-A4-recto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432">
        <w:br w:type="page"/>
      </w:r>
      <w:bookmarkStart w:id="1" w:name="_MacBuGuideStaticData_830V"/>
      <w:bookmarkStart w:id="2" w:name="_MacBuGuideStaticData_11090V"/>
      <w:r>
        <w:rPr>
          <w:noProof/>
          <w:lang w:val="fr-FR" w:eastAsia="fr-FR"/>
        </w:rPr>
        <w:lastRenderedPageBreak/>
        <w:pict>
          <v:shape id="Zone de texte 2" o:spid="_x0000_s1031" type="#_x0000_t202" style="position:absolute;margin-left:429.9pt;margin-top:739.9pt;width:82pt;height:25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Zone de texte 2">
              <w:txbxContent>
                <w:p w:rsidR="00461354" w:rsidRPr="003B0A76" w:rsidRDefault="00461354" w:rsidP="00461354">
                  <w:pPr>
                    <w:rPr>
                      <w:rFonts w:asciiTheme="majorHAnsi" w:hAnsiTheme="majorHAnsi"/>
                      <w:color w:val="404040" w:themeColor="text1" w:themeTint="BF"/>
                      <w:sz w:val="18"/>
                      <w:szCs w:val="18"/>
                    </w:rPr>
                  </w:pPr>
                  <w:r w:rsidRPr="003B0A76">
                    <w:rPr>
                      <w:rFonts w:asciiTheme="majorHAnsi" w:hAnsiTheme="majorHAnsi"/>
                      <w:color w:val="404040" w:themeColor="text1" w:themeTint="BF"/>
                      <w:sz w:val="18"/>
                      <w:szCs w:val="18"/>
                    </w:rPr>
                    <w:t>Conception IREV</w:t>
                  </w:r>
                </w:p>
              </w:txbxContent>
            </v:textbox>
            <w10:wrap type="square"/>
          </v:shape>
        </w:pict>
      </w:r>
      <w:r>
        <w:rPr>
          <w:noProof/>
          <w:lang w:val="fr-FR" w:eastAsia="fr-FR"/>
        </w:rPr>
        <w:pict>
          <v:shape id="_x0000_s1028" type="#_x0000_t202" style="position:absolute;margin-left:41.5pt;margin-top:50pt;width:513pt;height:688.5pt;z-index:251664384;mso-wrap-edited:f;mso-position-horizontal-relative:page;mso-position-vertical-relative:page" wrapcoords="0 0 21600 0 21600 21600 0 21600 0 0" filled="f" stroked="f">
            <v:fill o:detectmouseclick="t"/>
            <v:textbox inset=",7.2pt,,7.2pt">
              <w:txbxContent/>
            </v:textbox>
            <w10:wrap type="tight" anchorx="page" anchory="page"/>
          </v:shape>
        </w:pict>
      </w:r>
      <w:r w:rsidR="00F67432"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7556500" cy="10693400"/>
            <wp:effectExtent l="25400" t="0" r="0" b="0"/>
            <wp:wrapTight wrapText="bothSides">
              <wp:wrapPolygon edited="0">
                <wp:start x="-73" y="0"/>
                <wp:lineTo x="-73" y="21549"/>
                <wp:lineTo x="21564" y="21549"/>
                <wp:lineTo x="21564" y="0"/>
                <wp:lineTo x="-73" y="0"/>
              </wp:wrapPolygon>
            </wp:wrapTight>
            <wp:docPr id="7" name="Image 6" descr="FICHE-A4-vers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-A4-verso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bookmarkEnd w:id="2"/>
    </w:p>
    <w:sectPr w:rsidR="00F67432" w:rsidSect="00F674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870AF"/>
    <w:multiLevelType w:val="hybridMultilevel"/>
    <w:tmpl w:val="5198B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2443"/>
    <w:multiLevelType w:val="hybridMultilevel"/>
    <w:tmpl w:val="F392CFB6"/>
    <w:lvl w:ilvl="0" w:tplc="F0E2C3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D2838"/>
    <w:multiLevelType w:val="hybridMultilevel"/>
    <w:tmpl w:val="E44013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67432"/>
    <w:rsid w:val="0001548A"/>
    <w:rsid w:val="000455BF"/>
    <w:rsid w:val="00222092"/>
    <w:rsid w:val="00461354"/>
    <w:rsid w:val="00CA7D90"/>
    <w:rsid w:val="00F674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09C0B49-6898-4851-9AA9-0631C446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43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743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674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Paragraphedeliste">
    <w:name w:val="List Paragraph"/>
    <w:basedOn w:val="Normal"/>
    <w:uiPriority w:val="34"/>
    <w:qFormat/>
    <w:rsid w:val="00F67432"/>
    <w:pPr>
      <w:spacing w:after="160" w:line="259" w:lineRule="auto"/>
      <w:ind w:left="720"/>
      <w:contextualSpacing/>
    </w:pPr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 ,</dc:creator>
  <cp:keywords/>
  <cp:lastModifiedBy>Marie Sioen</cp:lastModifiedBy>
  <cp:revision>6</cp:revision>
  <dcterms:created xsi:type="dcterms:W3CDTF">2015-12-14T17:38:00Z</dcterms:created>
  <dcterms:modified xsi:type="dcterms:W3CDTF">2015-12-16T11:26:00Z</dcterms:modified>
</cp:coreProperties>
</file>